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AF98F" w14:textId="77777777" w:rsidR="00B31330" w:rsidRPr="00954C73" w:rsidRDefault="00B31330" w:rsidP="00954C73">
      <w:pPr>
        <w:pStyle w:val="Nadpis1"/>
      </w:pPr>
      <w:r w:rsidRPr="00954C73">
        <w:t xml:space="preserve">Príloha č. </w:t>
      </w:r>
      <w:r w:rsidR="0010595F" w:rsidRPr="00954C73">
        <w:t>3</w:t>
      </w:r>
      <w:r w:rsidRPr="00954C73">
        <w:br/>
        <w:t>Časový priebeh dohodnutia obchodného prípadu</w:t>
      </w:r>
      <w:r w:rsidRPr="00954C73">
        <w:br/>
        <w:t xml:space="preserve">na profile SK/PL </w:t>
      </w:r>
    </w:p>
    <w:p w14:paraId="3E64D6A4" w14:textId="77777777" w:rsidR="00B31330" w:rsidRPr="00954C73" w:rsidRDefault="00B31330" w:rsidP="00B31330">
      <w:pPr>
        <w:numPr>
          <w:ilvl w:val="0"/>
          <w:numId w:val="1"/>
        </w:numPr>
        <w:tabs>
          <w:tab w:val="left" w:pos="567"/>
        </w:tabs>
        <w:ind w:left="567" w:hanging="567"/>
        <w:rPr>
          <w:rFonts w:ascii="Arial" w:hAnsi="Arial" w:cs="Arial"/>
          <w:sz w:val="22"/>
          <w:szCs w:val="22"/>
        </w:rPr>
      </w:pPr>
      <w:r w:rsidRPr="00954C73">
        <w:rPr>
          <w:rFonts w:ascii="Arial" w:hAnsi="Arial" w:cs="Arial"/>
          <w:sz w:val="22"/>
          <w:szCs w:val="22"/>
        </w:rPr>
        <w:t>Jednou z podmienok dohodnutia cezhraničného prenosu na profile SK/PL je získanie práv pre využitie prenosovej kapacity Užívateľom alebo jeho zahraničným partnerom/partnermi. Tieto práva je možné získať:</w:t>
      </w:r>
    </w:p>
    <w:p w14:paraId="3D8B1670" w14:textId="77777777" w:rsidR="00B31330" w:rsidRPr="00954C73" w:rsidRDefault="00B31330" w:rsidP="00B31330">
      <w:pPr>
        <w:numPr>
          <w:ilvl w:val="1"/>
          <w:numId w:val="1"/>
        </w:numPr>
        <w:tabs>
          <w:tab w:val="num" w:pos="1134"/>
        </w:tabs>
        <w:ind w:left="1134" w:hanging="567"/>
        <w:rPr>
          <w:rFonts w:ascii="Arial" w:hAnsi="Arial" w:cs="Arial"/>
          <w:sz w:val="22"/>
          <w:szCs w:val="22"/>
        </w:rPr>
      </w:pPr>
      <w:r w:rsidRPr="00954C73">
        <w:rPr>
          <w:rFonts w:ascii="Arial" w:hAnsi="Arial" w:cs="Arial"/>
          <w:sz w:val="22"/>
          <w:szCs w:val="22"/>
        </w:rPr>
        <w:t>Rezerváciou prenosovej kapacity pridelenej pre príslušný rok a pre kalendárne mesiace  príslušného roku:</w:t>
      </w:r>
    </w:p>
    <w:p w14:paraId="1BE89DC2" w14:textId="77777777" w:rsidR="00B31330" w:rsidRPr="00954C73" w:rsidRDefault="00B31330" w:rsidP="00B31330">
      <w:pPr>
        <w:numPr>
          <w:ilvl w:val="2"/>
          <w:numId w:val="1"/>
        </w:numPr>
        <w:tabs>
          <w:tab w:val="num" w:pos="1701"/>
        </w:tabs>
        <w:ind w:left="1701"/>
        <w:rPr>
          <w:rFonts w:ascii="Arial" w:hAnsi="Arial" w:cs="Arial"/>
          <w:noProof/>
          <w:sz w:val="22"/>
          <w:szCs w:val="22"/>
        </w:rPr>
      </w:pPr>
      <w:r w:rsidRPr="00954C73">
        <w:rPr>
          <w:rFonts w:ascii="Arial" w:hAnsi="Arial" w:cs="Arial"/>
          <w:sz w:val="22"/>
          <w:szCs w:val="22"/>
        </w:rPr>
        <w:t xml:space="preserve">v aukčnom procese – ročná/mesačné aukcie – spôsobom popísaným v príslušných Aukčných pravidlách.  Ročné/mesačné aukcie na profile SK/PL vykonáva JAO. V procese aukcie je prideleným kapacitným právam </w:t>
      </w:r>
      <w:r w:rsidRPr="00954C73">
        <w:rPr>
          <w:rFonts w:ascii="Arial" w:hAnsi="Arial" w:cs="Arial"/>
          <w:noProof/>
          <w:sz w:val="22"/>
          <w:szCs w:val="22"/>
        </w:rPr>
        <w:t>priradený Capacity Agreement Identification (ďalej len „</w:t>
      </w:r>
      <w:r w:rsidRPr="00954C73">
        <w:rPr>
          <w:rFonts w:ascii="Arial" w:hAnsi="Arial" w:cs="Arial"/>
          <w:b/>
          <w:noProof/>
          <w:sz w:val="22"/>
          <w:szCs w:val="22"/>
        </w:rPr>
        <w:t>CAI kód</w:t>
      </w:r>
      <w:r w:rsidRPr="00954C73">
        <w:rPr>
          <w:rFonts w:ascii="Arial" w:hAnsi="Arial" w:cs="Arial"/>
          <w:noProof/>
          <w:sz w:val="22"/>
          <w:szCs w:val="22"/>
        </w:rPr>
        <w:t>“)</w:t>
      </w:r>
    </w:p>
    <w:p w14:paraId="45F8D180" w14:textId="77777777" w:rsidR="00B31330" w:rsidRPr="00954C73" w:rsidRDefault="00B31330" w:rsidP="00B31330">
      <w:pPr>
        <w:numPr>
          <w:ilvl w:val="2"/>
          <w:numId w:val="1"/>
        </w:numPr>
        <w:tabs>
          <w:tab w:val="num" w:pos="1701"/>
        </w:tabs>
        <w:ind w:left="1701"/>
        <w:rPr>
          <w:rFonts w:ascii="Arial" w:hAnsi="Arial" w:cs="Arial"/>
          <w:noProof/>
          <w:sz w:val="22"/>
          <w:szCs w:val="22"/>
        </w:rPr>
      </w:pPr>
      <w:r w:rsidRPr="00954C73">
        <w:rPr>
          <w:rFonts w:ascii="Arial" w:hAnsi="Arial" w:cs="Arial"/>
          <w:noProof/>
          <w:sz w:val="22"/>
          <w:szCs w:val="22"/>
        </w:rPr>
        <w:t>prevedením od tretej osoby, ktorá disponuje rezerváciou prenosovej kapacity podľa Aukčných pravidiel. Prevedené kapacitné práva získavajú prevodom nový CAI kód.</w:t>
      </w:r>
    </w:p>
    <w:p w14:paraId="279B88DF" w14:textId="77777777" w:rsidR="00E70A02" w:rsidRPr="00954C73" w:rsidRDefault="00B31330" w:rsidP="00E70A02">
      <w:pPr>
        <w:numPr>
          <w:ilvl w:val="1"/>
          <w:numId w:val="1"/>
        </w:numPr>
        <w:tabs>
          <w:tab w:val="num" w:pos="1134"/>
        </w:tabs>
        <w:ind w:left="1134" w:hanging="567"/>
        <w:rPr>
          <w:rFonts w:ascii="Arial" w:hAnsi="Arial" w:cs="Arial"/>
          <w:noProof/>
          <w:sz w:val="22"/>
          <w:szCs w:val="22"/>
        </w:rPr>
      </w:pPr>
      <w:r w:rsidRPr="00954C73">
        <w:rPr>
          <w:rFonts w:ascii="Arial" w:hAnsi="Arial" w:cs="Arial"/>
          <w:noProof/>
          <w:sz w:val="22"/>
          <w:szCs w:val="22"/>
        </w:rPr>
        <w:t xml:space="preserve">Na dennej báze v rámci implicitnej alokácie prenosových kapacít na spoločných cezhraničných profiloch prostredníctvom organizovaného krátkodobého trhu s elektrinou – </w:t>
      </w:r>
      <w:r w:rsidR="00E70A02" w:rsidRPr="00954C73">
        <w:rPr>
          <w:rFonts w:ascii="Arial" w:hAnsi="Arial" w:cs="Arial"/>
          <w:noProof/>
          <w:sz w:val="22"/>
          <w:szCs w:val="22"/>
        </w:rPr>
        <w:t>Flow-Based</w:t>
      </w:r>
      <w:r w:rsidRPr="00954C73">
        <w:rPr>
          <w:rFonts w:ascii="Arial" w:hAnsi="Arial" w:cs="Arial"/>
          <w:noProof/>
          <w:sz w:val="22"/>
          <w:szCs w:val="22"/>
        </w:rPr>
        <w:t xml:space="preserve"> </w:t>
      </w:r>
      <w:r w:rsidR="00E70A02" w:rsidRPr="00954C73">
        <w:rPr>
          <w:rFonts w:ascii="Arial" w:hAnsi="Arial" w:cs="Arial"/>
          <w:noProof/>
          <w:sz w:val="22"/>
          <w:szCs w:val="22"/>
        </w:rPr>
        <w:t>M</w:t>
      </w:r>
      <w:r w:rsidRPr="00954C73">
        <w:rPr>
          <w:rFonts w:ascii="Arial" w:hAnsi="Arial" w:cs="Arial"/>
          <w:noProof/>
          <w:sz w:val="22"/>
          <w:szCs w:val="22"/>
        </w:rPr>
        <w:t xml:space="preserve">arket </w:t>
      </w:r>
      <w:r w:rsidR="00E70A02" w:rsidRPr="00954C73">
        <w:rPr>
          <w:rFonts w:ascii="Arial" w:hAnsi="Arial" w:cs="Arial"/>
          <w:noProof/>
          <w:sz w:val="22"/>
          <w:szCs w:val="22"/>
        </w:rPr>
        <w:t>C</w:t>
      </w:r>
      <w:r w:rsidRPr="00954C73">
        <w:rPr>
          <w:rFonts w:ascii="Arial" w:hAnsi="Arial" w:cs="Arial"/>
          <w:noProof/>
          <w:sz w:val="22"/>
          <w:szCs w:val="22"/>
        </w:rPr>
        <w:t>ouplingu. V prípade technických problémov s prepojením trhov s elektrinou formou implicitnej alokácie prenosových kapacít na spoločných cezhraničných profiloch prostredníctvom organizovaného krátkodobého trhu s elektrinou alebo iných okolností, ktoré znemožnia vykonávať market coupling, bude na profile SK/PL vyhlásená denná tieňová explicitná aukcia (Tieňová aukcia), ktorú vyhlasuje a koordinuje JAO.</w:t>
      </w:r>
      <w:r w:rsidR="00E70A02" w:rsidRPr="00954C73">
        <w:rPr>
          <w:rFonts w:ascii="Arial" w:hAnsi="Arial" w:cs="Arial"/>
          <w:noProof/>
          <w:sz w:val="22"/>
          <w:szCs w:val="22"/>
        </w:rPr>
        <w:t xml:space="preserve"> Po</w:t>
      </w:r>
      <w:r w:rsidRPr="00954C73">
        <w:rPr>
          <w:rFonts w:ascii="Arial" w:hAnsi="Arial" w:cs="Arial"/>
          <w:noProof/>
          <w:sz w:val="22"/>
          <w:szCs w:val="22"/>
        </w:rPr>
        <w:t>drobnosti o  pravidlách Tieňovej aukcie</w:t>
      </w:r>
      <w:r w:rsidR="00E70A02" w:rsidRPr="00954C73">
        <w:rPr>
          <w:rFonts w:ascii="Arial" w:hAnsi="Arial" w:cs="Arial"/>
          <w:noProof/>
          <w:sz w:val="22"/>
          <w:szCs w:val="22"/>
        </w:rPr>
        <w:t xml:space="preserve"> sú</w:t>
      </w:r>
      <w:r w:rsidRPr="00954C73">
        <w:rPr>
          <w:rFonts w:ascii="Arial" w:hAnsi="Arial" w:cs="Arial"/>
          <w:noProof/>
          <w:sz w:val="22"/>
          <w:szCs w:val="22"/>
        </w:rPr>
        <w:t xml:space="preserve"> zverejnen</w:t>
      </w:r>
      <w:r w:rsidR="00E70A02" w:rsidRPr="00954C73">
        <w:rPr>
          <w:rFonts w:ascii="Arial" w:hAnsi="Arial" w:cs="Arial"/>
          <w:noProof/>
          <w:sz w:val="22"/>
          <w:szCs w:val="22"/>
        </w:rPr>
        <w:t>é</w:t>
      </w:r>
      <w:r w:rsidRPr="00954C73">
        <w:rPr>
          <w:rFonts w:ascii="Arial" w:hAnsi="Arial" w:cs="Arial"/>
          <w:noProof/>
          <w:sz w:val="22"/>
          <w:szCs w:val="22"/>
        </w:rPr>
        <w:t xml:space="preserve"> na webovom sídle </w:t>
      </w:r>
      <w:r w:rsidR="00E70A02" w:rsidRPr="00954C73">
        <w:rPr>
          <w:rFonts w:ascii="Arial" w:hAnsi="Arial" w:cs="Arial"/>
          <w:noProof/>
          <w:sz w:val="22"/>
          <w:szCs w:val="22"/>
        </w:rPr>
        <w:t xml:space="preserve">JAO </w:t>
      </w:r>
    </w:p>
    <w:p w14:paraId="1DA54F92" w14:textId="11ACA751" w:rsidR="00E70A02" w:rsidRPr="00954C73" w:rsidRDefault="00E70A02" w:rsidP="00E70A02">
      <w:pPr>
        <w:ind w:left="1134"/>
        <w:rPr>
          <w:rFonts w:ascii="Arial" w:hAnsi="Arial" w:cs="Arial"/>
          <w:noProof/>
          <w:sz w:val="22"/>
          <w:szCs w:val="22"/>
        </w:rPr>
      </w:pPr>
      <w:r w:rsidRPr="00954C73">
        <w:rPr>
          <w:rFonts w:ascii="Arial" w:hAnsi="Arial" w:cs="Arial"/>
          <w:noProof/>
          <w:sz w:val="22"/>
          <w:szCs w:val="22"/>
        </w:rPr>
        <w:t>https://www.jao.eu/sites/default/files/2021-06/ShadowAuctionsPackage_updated%2016th%20of%20June.pdf</w:t>
      </w:r>
    </w:p>
    <w:p w14:paraId="7589F3EA" w14:textId="56F40167" w:rsidR="00B31330" w:rsidRPr="00954C73" w:rsidRDefault="00CD550D" w:rsidP="00CD550D">
      <w:pPr>
        <w:numPr>
          <w:ilvl w:val="1"/>
          <w:numId w:val="1"/>
        </w:numPr>
        <w:tabs>
          <w:tab w:val="num" w:pos="1134"/>
        </w:tabs>
        <w:ind w:left="1134" w:hanging="567"/>
        <w:rPr>
          <w:rFonts w:ascii="Arial" w:hAnsi="Arial" w:cs="Arial"/>
          <w:noProof/>
          <w:sz w:val="22"/>
          <w:szCs w:val="22"/>
        </w:rPr>
      </w:pPr>
      <w:r w:rsidRPr="00954C73">
        <w:rPr>
          <w:rFonts w:ascii="Arial" w:hAnsi="Arial" w:cs="Arial"/>
          <w:noProof/>
          <w:sz w:val="22"/>
          <w:szCs w:val="22"/>
        </w:rPr>
        <w:t>Úspešným spustením projektu LIP 17 29. novembra 2022 bola intraday ponuková oblasť SR integrovaná do SIDC. Od tohto dňa prebieha cezhraničné vnútrodenné obchodovanie v module VDT spoločnosti OKTE. Pravidlá a relevantná dokumentácia je zverejnená na webovom sídle spoločnosti OKTE https://okte.sk/sk/kratkodoby-trh/ .</w:t>
      </w:r>
    </w:p>
    <w:p w14:paraId="0CC7F964" w14:textId="77777777" w:rsidR="00610615" w:rsidRPr="00954C73" w:rsidRDefault="00610615" w:rsidP="00610615">
      <w:pPr>
        <w:tabs>
          <w:tab w:val="left" w:pos="567"/>
        </w:tabs>
        <w:ind w:left="567"/>
        <w:rPr>
          <w:rFonts w:ascii="Arial" w:hAnsi="Arial" w:cs="Arial"/>
          <w:sz w:val="22"/>
          <w:szCs w:val="22"/>
        </w:rPr>
      </w:pPr>
    </w:p>
    <w:p w14:paraId="7598EA51" w14:textId="0CDE405B" w:rsidR="00B31330" w:rsidRPr="00954C73" w:rsidRDefault="00B31330" w:rsidP="00B31330">
      <w:pPr>
        <w:numPr>
          <w:ilvl w:val="0"/>
          <w:numId w:val="1"/>
        </w:numPr>
        <w:tabs>
          <w:tab w:val="left" w:pos="567"/>
        </w:tabs>
        <w:ind w:left="567" w:hanging="567"/>
        <w:rPr>
          <w:rFonts w:ascii="Arial" w:hAnsi="Arial" w:cs="Arial"/>
          <w:sz w:val="22"/>
          <w:szCs w:val="22"/>
        </w:rPr>
      </w:pPr>
      <w:r w:rsidRPr="00954C73">
        <w:rPr>
          <w:rFonts w:ascii="Arial" w:hAnsi="Arial" w:cs="Arial"/>
          <w:sz w:val="22"/>
          <w:szCs w:val="22"/>
        </w:rPr>
        <w:t>Dohodnutie prenosu s využitím kapacitných práv získaných v Tieňovej aukcii prebieha v nasledujúcich krokoch:</w:t>
      </w:r>
    </w:p>
    <w:p w14:paraId="0662099C" w14:textId="77777777" w:rsidR="00B31330" w:rsidRPr="00954C73" w:rsidRDefault="00B31330" w:rsidP="00B31330">
      <w:pPr>
        <w:numPr>
          <w:ilvl w:val="5"/>
          <w:numId w:val="1"/>
        </w:numPr>
        <w:tabs>
          <w:tab w:val="num" w:pos="1134"/>
        </w:tabs>
        <w:ind w:left="1134" w:hanging="567"/>
        <w:rPr>
          <w:rFonts w:ascii="Arial" w:hAnsi="Arial" w:cs="Arial"/>
          <w:sz w:val="22"/>
          <w:szCs w:val="22"/>
        </w:rPr>
      </w:pPr>
      <w:r w:rsidRPr="00954C73">
        <w:rPr>
          <w:rFonts w:ascii="Arial" w:hAnsi="Arial" w:cs="Arial"/>
          <w:sz w:val="22"/>
          <w:szCs w:val="22"/>
        </w:rPr>
        <w:t xml:space="preserve">Pre dohodnutie denného prenosu (obdobie 24 po sebe idúcich obchodných hodín, resp. 23/25 hodín v prípade prechodu na letný/zimný čas) musí predložiť Užívateľ požiadavku na prenos jedným z nasledujúcich spôsobov: </w:t>
      </w:r>
    </w:p>
    <w:p w14:paraId="5A24676A" w14:textId="77777777" w:rsidR="00CD550D" w:rsidRPr="00954C73" w:rsidRDefault="00CD550D" w:rsidP="00CD550D">
      <w:pPr>
        <w:pStyle w:val="Odsekzoznamu"/>
        <w:numPr>
          <w:ilvl w:val="2"/>
          <w:numId w:val="2"/>
        </w:numPr>
        <w:ind w:hanging="227"/>
        <w:jc w:val="left"/>
        <w:rPr>
          <w:rFonts w:ascii="Arial" w:hAnsi="Arial" w:cs="Arial"/>
          <w:sz w:val="22"/>
          <w:szCs w:val="22"/>
        </w:rPr>
      </w:pPr>
      <w:r w:rsidRPr="00954C73">
        <w:rPr>
          <w:rFonts w:ascii="Arial" w:hAnsi="Arial" w:cs="Arial"/>
          <w:sz w:val="22"/>
          <w:szCs w:val="22"/>
        </w:rPr>
        <w:t>Vyplnením formulára v používateľskom rozhraní systému Damas Energy</w:t>
      </w:r>
    </w:p>
    <w:p w14:paraId="7A17539A" w14:textId="77777777" w:rsidR="00B31330" w:rsidRPr="00954C73" w:rsidRDefault="00B31330" w:rsidP="00B31330">
      <w:pPr>
        <w:pStyle w:val="Odsekzoznamu"/>
        <w:numPr>
          <w:ilvl w:val="2"/>
          <w:numId w:val="2"/>
        </w:numPr>
        <w:ind w:hanging="227"/>
        <w:jc w:val="left"/>
        <w:rPr>
          <w:rFonts w:ascii="Arial" w:hAnsi="Arial" w:cs="Arial"/>
          <w:sz w:val="22"/>
          <w:szCs w:val="22"/>
        </w:rPr>
      </w:pPr>
      <w:r w:rsidRPr="00954C73">
        <w:rPr>
          <w:rFonts w:ascii="Arial" w:hAnsi="Arial" w:cs="Arial"/>
          <w:sz w:val="22"/>
          <w:szCs w:val="22"/>
        </w:rPr>
        <w:t>Použitím elektronického formulára vo formáte html s podporou kopírovania z MS Excel (Damas Energy)</w:t>
      </w:r>
    </w:p>
    <w:p w14:paraId="6BEF220B" w14:textId="50396F2C" w:rsidR="00B31330" w:rsidRPr="00954C73" w:rsidRDefault="00B31330" w:rsidP="00B31330">
      <w:pPr>
        <w:pStyle w:val="Odsekzoznamu"/>
        <w:numPr>
          <w:ilvl w:val="2"/>
          <w:numId w:val="2"/>
        </w:numPr>
        <w:ind w:hanging="227"/>
        <w:jc w:val="left"/>
        <w:rPr>
          <w:rFonts w:ascii="Arial" w:hAnsi="Arial" w:cs="Arial"/>
          <w:sz w:val="22"/>
          <w:szCs w:val="22"/>
          <w:lang w:val="en-US"/>
        </w:rPr>
      </w:pPr>
      <w:r w:rsidRPr="00954C73">
        <w:rPr>
          <w:rFonts w:ascii="Arial" w:hAnsi="Arial" w:cs="Arial"/>
          <w:noProof/>
          <w:sz w:val="22"/>
          <w:szCs w:val="22"/>
          <w:lang w:val="en-US"/>
        </w:rPr>
        <w:t>Cez upload  XML  súboru</w:t>
      </w:r>
      <w:r w:rsidRPr="00954C73">
        <w:rPr>
          <w:rFonts w:ascii="Arial" w:hAnsi="Arial" w:cs="Arial"/>
          <w:sz w:val="22"/>
          <w:szCs w:val="22"/>
          <w:lang w:val="en-US"/>
        </w:rPr>
        <w:t xml:space="preserve"> do Damas Energy</w:t>
      </w:r>
    </w:p>
    <w:p w14:paraId="4FF9FDCD" w14:textId="77777777" w:rsidR="00B31330" w:rsidRPr="00954C73" w:rsidRDefault="00B31330" w:rsidP="00B31330">
      <w:pPr>
        <w:pStyle w:val="Odsekzoznamu"/>
        <w:numPr>
          <w:ilvl w:val="2"/>
          <w:numId w:val="2"/>
        </w:numPr>
        <w:ind w:hanging="227"/>
        <w:jc w:val="left"/>
        <w:rPr>
          <w:rFonts w:ascii="Arial" w:hAnsi="Arial" w:cs="Arial"/>
          <w:sz w:val="22"/>
          <w:szCs w:val="22"/>
          <w:lang w:val="pl-PL"/>
        </w:rPr>
      </w:pPr>
      <w:r w:rsidRPr="00954C73">
        <w:rPr>
          <w:rFonts w:ascii="Arial" w:hAnsi="Arial" w:cs="Arial"/>
          <w:sz w:val="22"/>
          <w:szCs w:val="22"/>
          <w:lang w:val="pl-PL"/>
        </w:rPr>
        <w:t>Odoslaním  XML  súboru do Damas Energy  e-mailom na adresu dae@sepsas.sk</w:t>
      </w:r>
    </w:p>
    <w:p w14:paraId="448A7A6A" w14:textId="77777777" w:rsidR="00B31330" w:rsidRPr="00954C73" w:rsidRDefault="00B31330" w:rsidP="00B31330">
      <w:pPr>
        <w:pStyle w:val="Odsekzoznamu"/>
        <w:numPr>
          <w:ilvl w:val="2"/>
          <w:numId w:val="2"/>
        </w:numPr>
        <w:spacing w:after="240"/>
        <w:ind w:hanging="227"/>
        <w:jc w:val="left"/>
        <w:rPr>
          <w:rFonts w:ascii="Arial" w:hAnsi="Arial" w:cs="Arial"/>
          <w:sz w:val="22"/>
          <w:szCs w:val="22"/>
          <w:lang w:val="pl-PL"/>
        </w:rPr>
      </w:pPr>
      <w:r w:rsidRPr="00954C73">
        <w:rPr>
          <w:rFonts w:ascii="Arial" w:hAnsi="Arial" w:cs="Arial"/>
          <w:sz w:val="22"/>
          <w:szCs w:val="22"/>
          <w:lang w:val="pl-PL"/>
        </w:rPr>
        <w:t>Odoslaním  XML  súboru do Damas Energy cez webové služby.</w:t>
      </w:r>
    </w:p>
    <w:p w14:paraId="0F86FF4A" w14:textId="77777777" w:rsidR="00B31330" w:rsidRPr="00954C73" w:rsidRDefault="00B31330" w:rsidP="00B31330">
      <w:pPr>
        <w:numPr>
          <w:ilvl w:val="5"/>
          <w:numId w:val="1"/>
        </w:numPr>
        <w:tabs>
          <w:tab w:val="num" w:pos="1134"/>
        </w:tabs>
        <w:ind w:left="1134" w:hanging="567"/>
        <w:rPr>
          <w:rFonts w:ascii="Arial" w:hAnsi="Arial" w:cs="Arial"/>
          <w:sz w:val="22"/>
          <w:szCs w:val="22"/>
        </w:rPr>
      </w:pPr>
      <w:r w:rsidRPr="00954C73">
        <w:rPr>
          <w:rFonts w:ascii="Arial" w:hAnsi="Arial" w:cs="Arial"/>
          <w:sz w:val="22"/>
          <w:szCs w:val="22"/>
        </w:rPr>
        <w:t>Zahraničný partner/partneri Užívateľa predkladá/</w:t>
      </w:r>
      <w:proofErr w:type="spellStart"/>
      <w:r w:rsidRPr="00954C73">
        <w:rPr>
          <w:rFonts w:ascii="Arial" w:hAnsi="Arial" w:cs="Arial"/>
          <w:sz w:val="22"/>
          <w:szCs w:val="22"/>
        </w:rPr>
        <w:t>jú</w:t>
      </w:r>
      <w:proofErr w:type="spellEnd"/>
      <w:r w:rsidRPr="00954C73">
        <w:rPr>
          <w:rFonts w:ascii="Arial" w:hAnsi="Arial" w:cs="Arial"/>
          <w:sz w:val="22"/>
          <w:szCs w:val="22"/>
        </w:rPr>
        <w:t xml:space="preserve"> požiadavku na prenos do PSE.</w:t>
      </w:r>
    </w:p>
    <w:p w14:paraId="786387B2" w14:textId="35F0C764" w:rsidR="00B31330" w:rsidRPr="00954C73" w:rsidRDefault="00B31330" w:rsidP="00954C73">
      <w:pPr>
        <w:numPr>
          <w:ilvl w:val="5"/>
          <w:numId w:val="1"/>
        </w:numPr>
        <w:tabs>
          <w:tab w:val="num" w:pos="1134"/>
        </w:tabs>
        <w:ind w:left="1134" w:hanging="567"/>
        <w:rPr>
          <w:rFonts w:ascii="Arial" w:eastAsiaTheme="minorHAnsi" w:hAnsi="Arial" w:cs="Arial"/>
          <w:noProof/>
          <w:sz w:val="22"/>
          <w:szCs w:val="22"/>
          <w:lang w:eastAsia="en-US"/>
        </w:rPr>
      </w:pPr>
      <w:r w:rsidRPr="00954C73">
        <w:rPr>
          <w:rFonts w:ascii="Arial" w:hAnsi="Arial" w:cs="Arial"/>
          <w:sz w:val="22"/>
          <w:szCs w:val="22"/>
        </w:rPr>
        <w:t>Požiadavka na prenos musí spĺňať podmienky</w:t>
      </w:r>
      <w:r w:rsidR="00CD550D" w:rsidRPr="00954C73">
        <w:rPr>
          <w:rFonts w:ascii="Arial" w:hAnsi="Arial" w:cs="Arial"/>
          <w:sz w:val="22"/>
          <w:szCs w:val="22"/>
        </w:rPr>
        <w:t xml:space="preserve"> uvedené na </w:t>
      </w:r>
      <w:hyperlink r:id="rId7" w:history="1">
        <w:r w:rsidR="00B958E1" w:rsidRPr="00954C73">
          <w:rPr>
            <w:rFonts w:ascii="Arial" w:eastAsiaTheme="minorHAnsi" w:hAnsi="Arial" w:cs="Arial"/>
            <w:noProof/>
            <w:sz w:val="22"/>
            <w:szCs w:val="22"/>
            <w:lang w:eastAsia="en-US"/>
          </w:rPr>
          <w:t>Scheduling - Slovenská elektriačná prenosová sústava, a.s. (sepsas.sk)</w:t>
        </w:r>
      </w:hyperlink>
      <w:r w:rsidR="00B958E1" w:rsidRPr="00954C73">
        <w:rPr>
          <w:rFonts w:ascii="Arial" w:eastAsiaTheme="minorHAnsi" w:hAnsi="Arial" w:cs="Arial"/>
          <w:noProof/>
          <w:sz w:val="22"/>
          <w:szCs w:val="22"/>
          <w:lang w:eastAsia="en-US"/>
        </w:rPr>
        <w:t>.</w:t>
      </w:r>
    </w:p>
    <w:p w14:paraId="1D599D58" w14:textId="2A0FCA98" w:rsidR="00B31330" w:rsidRPr="00954C73" w:rsidRDefault="00B31330" w:rsidP="00B958E1">
      <w:pPr>
        <w:pStyle w:val="Odsekzoznamu"/>
        <w:numPr>
          <w:ilvl w:val="0"/>
          <w:numId w:val="4"/>
        </w:numPr>
        <w:ind w:left="1134" w:hanging="567"/>
        <w:rPr>
          <w:rFonts w:ascii="Arial" w:hAnsi="Arial" w:cs="Arial"/>
          <w:sz w:val="22"/>
          <w:szCs w:val="22"/>
        </w:rPr>
      </w:pPr>
      <w:r w:rsidRPr="00954C73">
        <w:rPr>
          <w:rFonts w:ascii="Arial" w:hAnsi="Arial" w:cs="Arial"/>
          <w:noProof/>
          <w:sz w:val="22"/>
          <w:szCs w:val="22"/>
        </w:rPr>
        <w:t xml:space="preserve">Hodnoty požadovaných prenosov sú ihneď po prijatí, zaslané do systému zúčtovateľa odchýlok a skontrolované voči disponibilnej finančnej zábezpeke. V prípade nedostatočnej výšky disponibilnej finančnej zábezpeky bude Užívateľovi </w:t>
      </w:r>
      <w:r w:rsidRPr="00954C73">
        <w:rPr>
          <w:rFonts w:ascii="Arial" w:hAnsi="Arial" w:cs="Arial"/>
          <w:noProof/>
          <w:sz w:val="22"/>
          <w:szCs w:val="22"/>
        </w:rPr>
        <w:lastRenderedPageBreak/>
        <w:t>doručený Anomaly Report (ďalej len „</w:t>
      </w:r>
      <w:r w:rsidRPr="00954C73">
        <w:rPr>
          <w:rFonts w:ascii="Arial" w:hAnsi="Arial" w:cs="Arial"/>
          <w:b/>
          <w:noProof/>
          <w:sz w:val="22"/>
          <w:szCs w:val="22"/>
        </w:rPr>
        <w:t>ANO</w:t>
      </w:r>
      <w:r w:rsidRPr="00954C73">
        <w:rPr>
          <w:rFonts w:ascii="Arial" w:hAnsi="Arial" w:cs="Arial"/>
          <w:noProof/>
          <w:sz w:val="22"/>
          <w:szCs w:val="22"/>
        </w:rPr>
        <w:t>“) vo forme správy v užívateľskom účte Užívateľa v rámci Damas Energy. V prípade, že Užívateľ v čase do uzávierky zadávania požiadaviek na cezhraničný prenos náležite neupraví výšku disponibilnej finančnej zábezpeky, resp. náležite neupraví hodnoty požadovaného prenosu tak, aby disponibilná finančná zábezpeka bola dostačujúca, hodnoty požadovaného prenosu nevstúpia do procesu zosúhlasovania cezh</w:t>
      </w:r>
      <w:r w:rsidRPr="00954C73">
        <w:rPr>
          <w:rFonts w:ascii="Arial" w:hAnsi="Arial" w:cs="Arial"/>
          <w:sz w:val="22"/>
          <w:szCs w:val="22"/>
        </w:rPr>
        <w:t>raničných prenosov s hodnotami príslušného susedného operátora PS, tzn. požadovaný prenos nebude akceptovaný.</w:t>
      </w:r>
    </w:p>
    <w:p w14:paraId="11F5FF2E" w14:textId="77777777" w:rsidR="00B31330" w:rsidRPr="00954C73" w:rsidRDefault="00B31330" w:rsidP="00B958E1">
      <w:pPr>
        <w:rPr>
          <w:rFonts w:ascii="Arial" w:hAnsi="Arial" w:cs="Arial"/>
          <w:sz w:val="22"/>
          <w:szCs w:val="22"/>
        </w:rPr>
      </w:pPr>
    </w:p>
    <w:p w14:paraId="254B42C2" w14:textId="7FE6F3F9" w:rsidR="00B31330" w:rsidRPr="00954C73" w:rsidRDefault="00B31330" w:rsidP="00B958E1">
      <w:pPr>
        <w:numPr>
          <w:ilvl w:val="0"/>
          <w:numId w:val="1"/>
        </w:numPr>
        <w:tabs>
          <w:tab w:val="left" w:pos="567"/>
        </w:tabs>
        <w:ind w:left="567" w:hanging="567"/>
        <w:rPr>
          <w:rFonts w:ascii="Arial" w:hAnsi="Arial" w:cs="Arial"/>
          <w:sz w:val="22"/>
          <w:szCs w:val="22"/>
        </w:rPr>
      </w:pPr>
      <w:r w:rsidRPr="00954C73">
        <w:rPr>
          <w:rFonts w:ascii="Arial" w:hAnsi="Arial" w:cs="Arial"/>
          <w:sz w:val="22"/>
          <w:szCs w:val="22"/>
        </w:rPr>
        <w:t>V prípade splnenia podmienok pre zadanie požiadavky podľa odseku 2)</w:t>
      </w:r>
      <w:r w:rsidR="001848B6">
        <w:rPr>
          <w:rFonts w:ascii="Arial" w:hAnsi="Arial" w:cs="Arial"/>
          <w:sz w:val="22"/>
          <w:szCs w:val="22"/>
        </w:rPr>
        <w:t xml:space="preserve"> </w:t>
      </w:r>
      <w:r w:rsidRPr="00954C73">
        <w:rPr>
          <w:rFonts w:ascii="Arial" w:hAnsi="Arial" w:cs="Arial"/>
          <w:sz w:val="22"/>
          <w:szCs w:val="22"/>
        </w:rPr>
        <w:t>c) tejto Prílohy Prevádzkovateľ PS prostredníctvom Damas Energy prijme zadanú požiadavku. V prípade nesplnenia podmienok Prevádzkovateľ PS prostredníctvom Damas Energy túto požiadavku neprijme. V oboch prípadoch je táto skutočnosť potvrdená Užívateľovi správou v užívateľskom účte v  Damas Energy.</w:t>
      </w:r>
    </w:p>
    <w:p w14:paraId="534CC50C" w14:textId="77777777" w:rsidR="00B31330" w:rsidRPr="00954C73" w:rsidRDefault="00B31330" w:rsidP="00B31330">
      <w:pPr>
        <w:rPr>
          <w:rFonts w:ascii="Arial" w:hAnsi="Arial" w:cs="Arial"/>
          <w:sz w:val="22"/>
          <w:szCs w:val="22"/>
        </w:rPr>
      </w:pPr>
    </w:p>
    <w:p w14:paraId="43303C85" w14:textId="77777777" w:rsidR="00B31330" w:rsidRPr="00954C73" w:rsidRDefault="00B31330" w:rsidP="00B31330">
      <w:pPr>
        <w:numPr>
          <w:ilvl w:val="0"/>
          <w:numId w:val="1"/>
        </w:numPr>
        <w:tabs>
          <w:tab w:val="left" w:pos="567"/>
        </w:tabs>
        <w:ind w:left="567" w:hanging="567"/>
        <w:rPr>
          <w:rFonts w:ascii="Arial" w:hAnsi="Arial" w:cs="Arial"/>
          <w:sz w:val="22"/>
          <w:szCs w:val="22"/>
        </w:rPr>
      </w:pPr>
      <w:r w:rsidRPr="00954C73">
        <w:rPr>
          <w:rFonts w:ascii="Arial" w:hAnsi="Arial" w:cs="Arial"/>
          <w:sz w:val="22"/>
          <w:szCs w:val="22"/>
        </w:rPr>
        <w:t>Prevádzkovateľ PS preverí technickú realizovateľnosť s ohľadom na bezpečnú a spoľahlivú prevádzku prenosovej sústavy.</w:t>
      </w:r>
    </w:p>
    <w:p w14:paraId="2C8E8805" w14:textId="77777777" w:rsidR="00B31330" w:rsidRPr="00954C73" w:rsidRDefault="00B31330" w:rsidP="00B31330">
      <w:pPr>
        <w:rPr>
          <w:rFonts w:ascii="Arial" w:hAnsi="Arial" w:cs="Arial"/>
          <w:sz w:val="22"/>
          <w:szCs w:val="22"/>
        </w:rPr>
      </w:pPr>
    </w:p>
    <w:p w14:paraId="7304E927" w14:textId="77777777" w:rsidR="00B31330" w:rsidRPr="00954C73" w:rsidRDefault="00B31330" w:rsidP="00B31330">
      <w:pPr>
        <w:numPr>
          <w:ilvl w:val="0"/>
          <w:numId w:val="1"/>
        </w:numPr>
        <w:tabs>
          <w:tab w:val="left" w:pos="567"/>
        </w:tabs>
        <w:ind w:left="567" w:hanging="567"/>
        <w:rPr>
          <w:rFonts w:ascii="Arial" w:hAnsi="Arial" w:cs="Arial"/>
          <w:noProof/>
          <w:sz w:val="22"/>
          <w:szCs w:val="22"/>
        </w:rPr>
      </w:pPr>
      <w:r w:rsidRPr="00954C73">
        <w:rPr>
          <w:rFonts w:ascii="Arial" w:hAnsi="Arial" w:cs="Arial"/>
          <w:sz w:val="22"/>
          <w:szCs w:val="22"/>
        </w:rPr>
        <w:t xml:space="preserve">V prípade, že do Damas Energy je doručená jedna alebo viacero požiadaviek na prenos, ktoré využívajú kapacitné práva s rovnakým CAI kódom a tieto požiadavky v súčte prevýšia kapacitné práva priradené danému CAI kódu, Damas Energy odošle všetkým dotknutým Užívateľom ANO upozorňujúcim na skutočnosť, že pridelené kapacitné práva boli prekročené. Užívateľovi bude doručený ANO vo forme správy v užívateľskom účte Užívateľa v rámci Damas Energy. V prípade, že Užívateľ/Užívatelia v čase do uzávierky zadávania požiadaviek na prenos, resp. v rámci korekčného cyklu, neskorigujú príslušné požiadavky na prenos, v procese </w:t>
      </w:r>
      <w:r w:rsidRPr="00954C73">
        <w:rPr>
          <w:rFonts w:ascii="Arial" w:hAnsi="Arial" w:cs="Arial"/>
          <w:noProof/>
          <w:sz w:val="22"/>
          <w:szCs w:val="22"/>
        </w:rPr>
        <w:t>zosúhlasenia požiadaviek na prenos budú všetky dotknuté požiadavky proporcionálne skrátené a zaokrúhlené smerom nadol na celé číslo.</w:t>
      </w:r>
    </w:p>
    <w:p w14:paraId="0591F174" w14:textId="77777777" w:rsidR="00B31330" w:rsidRPr="00954C73" w:rsidRDefault="00B31330" w:rsidP="00B31330">
      <w:pPr>
        <w:rPr>
          <w:rFonts w:ascii="Arial" w:hAnsi="Arial" w:cs="Arial"/>
          <w:noProof/>
          <w:sz w:val="22"/>
          <w:szCs w:val="22"/>
        </w:rPr>
      </w:pPr>
    </w:p>
    <w:p w14:paraId="123CC38B" w14:textId="77777777" w:rsidR="00B958E1" w:rsidRPr="00954C73" w:rsidRDefault="00B958E1" w:rsidP="00B958E1">
      <w:pPr>
        <w:numPr>
          <w:ilvl w:val="0"/>
          <w:numId w:val="1"/>
        </w:numPr>
        <w:tabs>
          <w:tab w:val="left" w:pos="567"/>
        </w:tabs>
        <w:ind w:left="567" w:hanging="567"/>
        <w:rPr>
          <w:rFonts w:ascii="Arial" w:hAnsi="Arial" w:cs="Arial"/>
          <w:noProof/>
          <w:sz w:val="22"/>
          <w:szCs w:val="22"/>
        </w:rPr>
      </w:pPr>
      <w:r w:rsidRPr="00954C73">
        <w:rPr>
          <w:rFonts w:ascii="Arial" w:hAnsi="Arial" w:cs="Arial"/>
          <w:noProof/>
          <w:sz w:val="22"/>
          <w:szCs w:val="22"/>
        </w:rPr>
        <w:t xml:space="preserve">Dlhodobé prenosové práva sú prideľované prostredníctvom ročných a mesačných aukcií v zmysle platných aukčných pravidiel Harmonized auction rules zverejnených na internetovej stránke JAO (https://www.jao.eu/resource-center)  </w:t>
      </w:r>
    </w:p>
    <w:p w14:paraId="52AB7615" w14:textId="77777777" w:rsidR="00B31330" w:rsidRPr="00954C73" w:rsidRDefault="00B31330" w:rsidP="00B31330">
      <w:pPr>
        <w:ind w:left="709"/>
        <w:rPr>
          <w:rFonts w:ascii="Arial" w:hAnsi="Arial" w:cs="Arial"/>
          <w:noProof/>
          <w:sz w:val="22"/>
          <w:szCs w:val="22"/>
        </w:rPr>
      </w:pPr>
    </w:p>
    <w:p w14:paraId="16DDE710" w14:textId="69920BDD" w:rsidR="00B31330" w:rsidRPr="00954C73" w:rsidRDefault="00B31330" w:rsidP="00B31330">
      <w:pPr>
        <w:numPr>
          <w:ilvl w:val="0"/>
          <w:numId w:val="1"/>
        </w:numPr>
        <w:tabs>
          <w:tab w:val="left" w:pos="567"/>
        </w:tabs>
        <w:spacing w:after="240"/>
        <w:ind w:left="567" w:hanging="567"/>
        <w:rPr>
          <w:rFonts w:ascii="Arial" w:hAnsi="Arial" w:cs="Arial"/>
          <w:sz w:val="22"/>
          <w:szCs w:val="22"/>
        </w:rPr>
      </w:pPr>
      <w:r w:rsidRPr="00954C73">
        <w:rPr>
          <w:rFonts w:ascii="Arial" w:hAnsi="Arial" w:cs="Arial"/>
          <w:noProof/>
          <w:sz w:val="22"/>
          <w:szCs w:val="22"/>
        </w:rPr>
        <w:t xml:space="preserve">V prípade výnimočnej situácie </w:t>
      </w:r>
      <w:r w:rsidR="009A1D7E" w:rsidRPr="00954C73">
        <w:rPr>
          <w:rFonts w:ascii="Arial" w:hAnsi="Arial" w:cs="Arial"/>
          <w:noProof/>
          <w:sz w:val="22"/>
          <w:szCs w:val="22"/>
        </w:rPr>
        <w:t xml:space="preserve">(napr. Tieňová aukcia) </w:t>
      </w:r>
      <w:r w:rsidRPr="00954C73">
        <w:rPr>
          <w:rFonts w:ascii="Arial" w:hAnsi="Arial" w:cs="Arial"/>
          <w:noProof/>
          <w:sz w:val="22"/>
          <w:szCs w:val="22"/>
        </w:rPr>
        <w:t>môže byť GCT posunutý na 15:00, resp. 15:30. Podrobný popis pravidiel schedulingu a zosúhlasovania požiadaviek na prenos je popísaný v dokumente „The User´s Guide to Scheduling in CEE Region“</w:t>
      </w:r>
      <w:r w:rsidRPr="00954C73">
        <w:rPr>
          <w:rFonts w:ascii="Arial" w:hAnsi="Arial" w:cs="Arial"/>
          <w:sz w:val="22"/>
          <w:szCs w:val="22"/>
        </w:rPr>
        <w:t xml:space="preserve"> zverejnenom na:  </w:t>
      </w:r>
      <w:hyperlink r:id="rId8" w:history="1">
        <w:r w:rsidRPr="00954C73">
          <w:rPr>
            <w:rStyle w:val="Hypertextovprepojenie"/>
            <w:rFonts w:ascii="Arial" w:hAnsi="Arial" w:cs="Arial"/>
            <w:color w:val="000000"/>
            <w:sz w:val="22"/>
            <w:szCs w:val="22"/>
            <w:u w:val="none"/>
          </w:rPr>
          <w:t>http://jao.eu/support/resourcecenter/overview</w:t>
        </w:r>
      </w:hyperlink>
      <w:r w:rsidRPr="00954C73">
        <w:rPr>
          <w:rFonts w:ascii="Arial" w:hAnsi="Arial" w:cs="Arial"/>
          <w:i/>
          <w:sz w:val="22"/>
          <w:szCs w:val="22"/>
        </w:rPr>
        <w:t>.</w:t>
      </w:r>
    </w:p>
    <w:p w14:paraId="4E45FA19" w14:textId="77777777" w:rsidR="00971789" w:rsidRPr="00954C73" w:rsidRDefault="00971789">
      <w:pPr>
        <w:rPr>
          <w:rFonts w:ascii="Arial" w:hAnsi="Arial" w:cs="Arial"/>
          <w:sz w:val="22"/>
          <w:szCs w:val="22"/>
        </w:rPr>
      </w:pPr>
    </w:p>
    <w:sectPr w:rsidR="00971789" w:rsidRPr="00954C7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CB557" w14:textId="77777777" w:rsidR="00F84299" w:rsidRDefault="00F84299" w:rsidP="004F4220">
      <w:r>
        <w:separator/>
      </w:r>
    </w:p>
  </w:endnote>
  <w:endnote w:type="continuationSeparator" w:id="0">
    <w:p w14:paraId="08CE6679" w14:textId="77777777" w:rsidR="00F84299" w:rsidRDefault="00F84299" w:rsidP="004F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sz w:val="18"/>
        <w:szCs w:val="18"/>
      </w:rPr>
      <w:id w:val="-299146448"/>
      <w:docPartObj>
        <w:docPartGallery w:val="Page Numbers (Bottom of Page)"/>
        <w:docPartUnique/>
      </w:docPartObj>
    </w:sdtPr>
    <w:sdtEndPr/>
    <w:sdtContent>
      <w:p w14:paraId="1E71A676" w14:textId="38EB3E73" w:rsidR="00006AD1" w:rsidRPr="00954C73" w:rsidRDefault="00DF092B" w:rsidP="00006AD1">
        <w:pPr>
          <w:pStyle w:val="Pta"/>
          <w:rPr>
            <w:rFonts w:ascii="Arial" w:hAnsi="Arial" w:cs="Arial"/>
            <w:i/>
            <w:sz w:val="18"/>
            <w:szCs w:val="18"/>
          </w:rPr>
        </w:pPr>
        <w:r w:rsidRPr="00954C73">
          <w:rPr>
            <w:rFonts w:ascii="Arial" w:hAnsi="Arial" w:cs="Arial"/>
            <w:i/>
            <w:sz w:val="18"/>
            <w:szCs w:val="18"/>
          </w:rPr>
          <w:t>Príloha č. 3</w:t>
        </w:r>
        <w:r w:rsidR="00006AD1" w:rsidRPr="00954C73">
          <w:rPr>
            <w:rFonts w:ascii="Arial" w:hAnsi="Arial" w:cs="Arial"/>
            <w:i/>
            <w:sz w:val="18"/>
            <w:szCs w:val="18"/>
          </w:rPr>
          <w:t xml:space="preserve"> k Rámcovej zmluve o prenose elektriny cez spojovacie vedenia</w:t>
        </w:r>
        <w:r w:rsidR="00006AD1" w:rsidRPr="00954C73">
          <w:rPr>
            <w:rFonts w:ascii="Arial" w:hAnsi="Arial" w:cs="Arial"/>
            <w:i/>
            <w:sz w:val="18"/>
            <w:szCs w:val="18"/>
          </w:rPr>
          <w:tab/>
          <w:t xml:space="preserve"> </w:t>
        </w:r>
        <w:r w:rsidR="00006AD1" w:rsidRPr="00954C73">
          <w:rPr>
            <w:rFonts w:ascii="Arial" w:hAnsi="Arial" w:cs="Arial"/>
            <w:i/>
            <w:sz w:val="18"/>
            <w:szCs w:val="18"/>
          </w:rPr>
          <w:fldChar w:fldCharType="begin"/>
        </w:r>
        <w:r w:rsidR="00006AD1" w:rsidRPr="00954C73">
          <w:rPr>
            <w:rFonts w:ascii="Arial" w:hAnsi="Arial" w:cs="Arial"/>
            <w:i/>
            <w:sz w:val="18"/>
            <w:szCs w:val="18"/>
          </w:rPr>
          <w:instrText>PAGE   \* MERGEFORMAT</w:instrText>
        </w:r>
        <w:r w:rsidR="00006AD1" w:rsidRPr="00954C73">
          <w:rPr>
            <w:rFonts w:ascii="Arial" w:hAnsi="Arial" w:cs="Arial"/>
            <w:i/>
            <w:sz w:val="18"/>
            <w:szCs w:val="18"/>
          </w:rPr>
          <w:fldChar w:fldCharType="separate"/>
        </w:r>
        <w:r w:rsidR="00BB7454" w:rsidRPr="00954C73">
          <w:rPr>
            <w:rFonts w:ascii="Arial" w:hAnsi="Arial" w:cs="Arial"/>
            <w:i/>
            <w:noProof/>
            <w:sz w:val="18"/>
            <w:szCs w:val="18"/>
          </w:rPr>
          <w:t>1</w:t>
        </w:r>
        <w:r w:rsidR="00006AD1" w:rsidRPr="00954C73">
          <w:rPr>
            <w:rFonts w:ascii="Arial" w:hAnsi="Arial" w:cs="Arial"/>
            <w:i/>
            <w:sz w:val="18"/>
            <w:szCs w:val="18"/>
          </w:rPr>
          <w:fldChar w:fldCharType="end"/>
        </w:r>
        <w:r w:rsidR="00006AD1" w:rsidRPr="00954C73">
          <w:rPr>
            <w:rFonts w:ascii="Arial" w:hAnsi="Arial" w:cs="Arial"/>
            <w:i/>
            <w:sz w:val="18"/>
            <w:szCs w:val="18"/>
          </w:rPr>
          <w:t>/</w:t>
        </w:r>
        <w:r w:rsidR="003C72BD" w:rsidRPr="00954C73">
          <w:rPr>
            <w:rFonts w:ascii="Arial" w:hAnsi="Arial" w:cs="Arial"/>
            <w:i/>
            <w:sz w:val="18"/>
            <w:szCs w:val="18"/>
          </w:rPr>
          <w:t>2</w:t>
        </w:r>
      </w:p>
    </w:sdtContent>
  </w:sdt>
  <w:p w14:paraId="090BC601" w14:textId="77777777" w:rsidR="00006AD1" w:rsidRPr="00954C73" w:rsidRDefault="00006AD1">
    <w:pPr>
      <w:pStyle w:val="Pta"/>
      <w:rPr>
        <w:rFonts w:ascii="Arial" w:hAnsi="Arial" w:cs="Arial"/>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FC3F1" w14:textId="77777777" w:rsidR="00F84299" w:rsidRDefault="00F84299" w:rsidP="004F4220">
      <w:r>
        <w:separator/>
      </w:r>
    </w:p>
  </w:footnote>
  <w:footnote w:type="continuationSeparator" w:id="0">
    <w:p w14:paraId="2F3A5745" w14:textId="77777777" w:rsidR="00F84299" w:rsidRDefault="00F84299" w:rsidP="004F4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A3775"/>
    <w:multiLevelType w:val="hybridMultilevel"/>
    <w:tmpl w:val="9A285708"/>
    <w:lvl w:ilvl="0" w:tplc="87A2D53E">
      <w:start w:val="4"/>
      <w:numFmt w:val="lowerLetter"/>
      <w:lvlText w:val="%1)"/>
      <w:lvlJc w:val="left"/>
      <w:pPr>
        <w:tabs>
          <w:tab w:val="num" w:pos="454"/>
        </w:tabs>
        <w:ind w:left="454" w:hanging="45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86D4F5F"/>
    <w:multiLevelType w:val="multilevel"/>
    <w:tmpl w:val="783295CA"/>
    <w:lvl w:ilvl="0">
      <w:start w:val="1"/>
      <w:numFmt w:val="decimal"/>
      <w:lvlText w:val="%1)"/>
      <w:lvlJc w:val="left"/>
      <w:pPr>
        <w:ind w:left="360" w:hanging="360"/>
      </w:pPr>
      <w:rPr>
        <w:rFonts w:hint="default"/>
        <w:color w:val="auto"/>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CBE41E5"/>
    <w:multiLevelType w:val="hybridMultilevel"/>
    <w:tmpl w:val="6C40504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 w15:restartNumberingAfterBreak="0">
    <w:nsid w:val="6E806C42"/>
    <w:multiLevelType w:val="hybridMultilevel"/>
    <w:tmpl w:val="2CB0B030"/>
    <w:lvl w:ilvl="0" w:tplc="041B0001">
      <w:start w:val="1"/>
      <w:numFmt w:val="bullet"/>
      <w:lvlText w:val=""/>
      <w:lvlJc w:val="left"/>
      <w:pPr>
        <w:tabs>
          <w:tab w:val="num" w:pos="360"/>
        </w:tabs>
        <w:ind w:left="340" w:hanging="340"/>
      </w:pPr>
      <w:rPr>
        <w:rFonts w:ascii="Symbol" w:hAnsi="Symbol" w:hint="default"/>
      </w:rPr>
    </w:lvl>
    <w:lvl w:ilvl="1" w:tplc="254C4066">
      <w:start w:val="1"/>
      <w:numFmt w:val="lowerLetter"/>
      <w:lvlText w:val="%2)"/>
      <w:lvlJc w:val="left"/>
      <w:pPr>
        <w:tabs>
          <w:tab w:val="num" w:pos="794"/>
        </w:tabs>
        <w:ind w:left="794" w:hanging="454"/>
      </w:pPr>
      <w:rPr>
        <w:rFonts w:ascii="Times New Roman" w:eastAsia="Times New Roman" w:hAnsi="Times New Roman" w:cs="Times New Roman"/>
      </w:rPr>
    </w:lvl>
    <w:lvl w:ilvl="2" w:tplc="041B0001">
      <w:start w:val="1"/>
      <w:numFmt w:val="bullet"/>
      <w:lvlText w:val=""/>
      <w:lvlJc w:val="left"/>
      <w:pPr>
        <w:tabs>
          <w:tab w:val="num" w:pos="1361"/>
        </w:tabs>
        <w:ind w:left="1361" w:hanging="567"/>
      </w:pPr>
      <w:rPr>
        <w:rFonts w:ascii="Symbol" w:hAnsi="Symbol" w:hint="default"/>
      </w:rPr>
    </w:lvl>
    <w:lvl w:ilvl="3" w:tplc="AF12D76E">
      <w:start w:val="2"/>
      <w:numFmt w:val="lowerLetter"/>
      <w:lvlText w:val="%4)"/>
      <w:lvlJc w:val="left"/>
      <w:pPr>
        <w:tabs>
          <w:tab w:val="num" w:pos="794"/>
        </w:tabs>
        <w:ind w:left="794" w:hanging="454"/>
      </w:pPr>
      <w:rPr>
        <w:rFonts w:hint="default"/>
      </w:rPr>
    </w:lvl>
    <w:lvl w:ilvl="4" w:tplc="D3A025DC">
      <w:start w:val="2"/>
      <w:numFmt w:val="decimal"/>
      <w:lvlText w:val="%5)"/>
      <w:lvlJc w:val="left"/>
      <w:pPr>
        <w:tabs>
          <w:tab w:val="num" w:pos="360"/>
        </w:tabs>
        <w:ind w:left="340" w:hanging="340"/>
      </w:pPr>
      <w:rPr>
        <w:rFonts w:hint="default"/>
      </w:rPr>
    </w:lvl>
    <w:lvl w:ilvl="5" w:tplc="10002D46">
      <w:start w:val="1"/>
      <w:numFmt w:val="lowerLetter"/>
      <w:lvlText w:val="%6)"/>
      <w:lvlJc w:val="left"/>
      <w:pPr>
        <w:tabs>
          <w:tab w:val="num" w:pos="794"/>
        </w:tabs>
        <w:ind w:left="794" w:hanging="454"/>
      </w:pPr>
      <w:rPr>
        <w:rFonts w:hint="default"/>
      </w:rPr>
    </w:lvl>
    <w:lvl w:ilvl="6" w:tplc="19064B00">
      <w:start w:val="1"/>
      <w:numFmt w:val="lowerLetter"/>
      <w:lvlText w:val="b%7)"/>
      <w:lvlJc w:val="left"/>
      <w:pPr>
        <w:tabs>
          <w:tab w:val="num" w:pos="1361"/>
        </w:tabs>
        <w:ind w:left="1361" w:hanging="567"/>
      </w:pPr>
      <w:rPr>
        <w:rFonts w:hint="default"/>
      </w:rPr>
    </w:lvl>
    <w:lvl w:ilvl="7" w:tplc="86D415AA">
      <w:start w:val="3"/>
      <w:numFmt w:val="decimal"/>
      <w:lvlText w:val="%8)"/>
      <w:lvlJc w:val="left"/>
      <w:pPr>
        <w:tabs>
          <w:tab w:val="num" w:pos="360"/>
        </w:tabs>
        <w:ind w:left="340" w:hanging="340"/>
      </w:pPr>
      <w:rPr>
        <w:rFonts w:hint="default"/>
      </w:rPr>
    </w:lvl>
    <w:lvl w:ilvl="8" w:tplc="5CD6CFCC">
      <w:start w:val="1"/>
      <w:numFmt w:val="lowerLetter"/>
      <w:lvlText w:val="%9)"/>
      <w:lvlJc w:val="left"/>
      <w:pPr>
        <w:tabs>
          <w:tab w:val="num" w:pos="794"/>
        </w:tabs>
        <w:ind w:left="794" w:hanging="454"/>
      </w:pPr>
      <w:rPr>
        <w:rFonts w:hint="default"/>
      </w:rPr>
    </w:lvl>
  </w:abstractNum>
  <w:abstractNum w:abstractNumId="4" w15:restartNumberingAfterBreak="0">
    <w:nsid w:val="6E9058B5"/>
    <w:multiLevelType w:val="hybridMultilevel"/>
    <w:tmpl w:val="7D52527A"/>
    <w:lvl w:ilvl="0" w:tplc="8BD28914">
      <w:start w:val="1"/>
      <w:numFmt w:val="decimal"/>
      <w:lvlText w:val="%1)"/>
      <w:lvlJc w:val="left"/>
      <w:pPr>
        <w:tabs>
          <w:tab w:val="num" w:pos="-1000"/>
        </w:tabs>
        <w:ind w:left="-1020" w:hanging="340"/>
      </w:pPr>
      <w:rPr>
        <w:rFonts w:hint="default"/>
      </w:rPr>
    </w:lvl>
    <w:lvl w:ilvl="1" w:tplc="7B3C2768">
      <w:start w:val="1"/>
      <w:numFmt w:val="lowerLetter"/>
      <w:lvlText w:val="%2)"/>
      <w:lvlJc w:val="left"/>
      <w:pPr>
        <w:tabs>
          <w:tab w:val="num" w:pos="-566"/>
        </w:tabs>
        <w:ind w:left="-566" w:hanging="454"/>
      </w:pPr>
      <w:rPr>
        <w:rFonts w:ascii="Arial" w:eastAsia="Times New Roman" w:hAnsi="Arial" w:cs="Arial" w:hint="default"/>
      </w:rPr>
    </w:lvl>
    <w:lvl w:ilvl="2" w:tplc="E1A6431A">
      <w:start w:val="1"/>
      <w:numFmt w:val="lowerLetter"/>
      <w:lvlText w:val="a%3)"/>
      <w:lvlJc w:val="left"/>
      <w:pPr>
        <w:tabs>
          <w:tab w:val="num" w:pos="1"/>
        </w:tabs>
        <w:ind w:left="1" w:hanging="567"/>
      </w:pPr>
      <w:rPr>
        <w:rFonts w:hint="default"/>
      </w:rPr>
    </w:lvl>
    <w:lvl w:ilvl="3" w:tplc="AF12D76E">
      <w:start w:val="2"/>
      <w:numFmt w:val="lowerLetter"/>
      <w:lvlText w:val="%4)"/>
      <w:lvlJc w:val="left"/>
      <w:pPr>
        <w:tabs>
          <w:tab w:val="num" w:pos="-566"/>
        </w:tabs>
        <w:ind w:left="-566" w:hanging="454"/>
      </w:pPr>
      <w:rPr>
        <w:rFonts w:hint="default"/>
      </w:rPr>
    </w:lvl>
    <w:lvl w:ilvl="4" w:tplc="6C8A8214">
      <w:start w:val="1"/>
      <w:numFmt w:val="decimal"/>
      <w:lvlText w:val="%5)"/>
      <w:lvlJc w:val="left"/>
      <w:pPr>
        <w:tabs>
          <w:tab w:val="num" w:pos="-1000"/>
        </w:tabs>
        <w:ind w:left="-1020" w:hanging="340"/>
      </w:pPr>
      <w:rPr>
        <w:rFonts w:hint="default"/>
      </w:rPr>
    </w:lvl>
    <w:lvl w:ilvl="5" w:tplc="73367222">
      <w:start w:val="1"/>
      <w:numFmt w:val="lowerLetter"/>
      <w:lvlText w:val="%6)"/>
      <w:lvlJc w:val="left"/>
      <w:pPr>
        <w:tabs>
          <w:tab w:val="num" w:pos="-566"/>
        </w:tabs>
        <w:ind w:left="-566" w:hanging="454"/>
      </w:pPr>
      <w:rPr>
        <w:rFonts w:hint="default"/>
      </w:rPr>
    </w:lvl>
    <w:lvl w:ilvl="6" w:tplc="19064B00">
      <w:start w:val="1"/>
      <w:numFmt w:val="lowerLetter"/>
      <w:lvlText w:val="b%7)"/>
      <w:lvlJc w:val="left"/>
      <w:pPr>
        <w:tabs>
          <w:tab w:val="num" w:pos="1"/>
        </w:tabs>
        <w:ind w:left="1" w:hanging="567"/>
      </w:pPr>
      <w:rPr>
        <w:rFonts w:hint="default"/>
      </w:rPr>
    </w:lvl>
    <w:lvl w:ilvl="7" w:tplc="86D415AA">
      <w:start w:val="3"/>
      <w:numFmt w:val="decimal"/>
      <w:lvlText w:val="%8)"/>
      <w:lvlJc w:val="left"/>
      <w:pPr>
        <w:tabs>
          <w:tab w:val="num" w:pos="-1000"/>
        </w:tabs>
        <w:ind w:left="-1020" w:hanging="340"/>
      </w:pPr>
      <w:rPr>
        <w:rFonts w:hint="default"/>
      </w:rPr>
    </w:lvl>
    <w:lvl w:ilvl="8" w:tplc="5CD6CFCC">
      <w:start w:val="1"/>
      <w:numFmt w:val="lowerLetter"/>
      <w:lvlText w:val="%9)"/>
      <w:lvlJc w:val="left"/>
      <w:pPr>
        <w:tabs>
          <w:tab w:val="num" w:pos="-566"/>
        </w:tabs>
        <w:ind w:left="-566" w:hanging="454"/>
      </w:pPr>
      <w:rPr>
        <w:rFonts w:hint="default"/>
      </w:rPr>
    </w:lvl>
  </w:abstractNum>
  <w:abstractNum w:abstractNumId="5" w15:restartNumberingAfterBreak="0">
    <w:nsid w:val="76C071B8"/>
    <w:multiLevelType w:val="hybridMultilevel"/>
    <w:tmpl w:val="1B7E2B2E"/>
    <w:lvl w:ilvl="0" w:tplc="8BD28914">
      <w:start w:val="1"/>
      <w:numFmt w:val="decimal"/>
      <w:lvlText w:val="%1)"/>
      <w:lvlJc w:val="left"/>
      <w:pPr>
        <w:tabs>
          <w:tab w:val="num" w:pos="360"/>
        </w:tabs>
        <w:ind w:left="340" w:hanging="340"/>
      </w:pPr>
      <w:rPr>
        <w:rFonts w:hint="default"/>
      </w:rPr>
    </w:lvl>
    <w:lvl w:ilvl="1" w:tplc="254C4066">
      <w:start w:val="1"/>
      <w:numFmt w:val="lowerLetter"/>
      <w:lvlText w:val="%2)"/>
      <w:lvlJc w:val="left"/>
      <w:pPr>
        <w:tabs>
          <w:tab w:val="num" w:pos="794"/>
        </w:tabs>
        <w:ind w:left="794" w:hanging="454"/>
      </w:pPr>
      <w:rPr>
        <w:rFonts w:ascii="Times New Roman" w:eastAsia="Times New Roman" w:hAnsi="Times New Roman" w:cs="Times New Roman"/>
      </w:rPr>
    </w:lvl>
    <w:lvl w:ilvl="2" w:tplc="E1A6431A">
      <w:start w:val="1"/>
      <w:numFmt w:val="lowerLetter"/>
      <w:lvlText w:val="a%3)"/>
      <w:lvlJc w:val="left"/>
      <w:pPr>
        <w:tabs>
          <w:tab w:val="num" w:pos="1361"/>
        </w:tabs>
        <w:ind w:left="1361" w:hanging="567"/>
      </w:pPr>
      <w:rPr>
        <w:rFonts w:hint="default"/>
      </w:rPr>
    </w:lvl>
    <w:lvl w:ilvl="3" w:tplc="AF12D76E">
      <w:start w:val="2"/>
      <w:numFmt w:val="lowerLetter"/>
      <w:lvlText w:val="%4)"/>
      <w:lvlJc w:val="left"/>
      <w:pPr>
        <w:tabs>
          <w:tab w:val="num" w:pos="794"/>
        </w:tabs>
        <w:ind w:left="794" w:hanging="454"/>
      </w:pPr>
      <w:rPr>
        <w:rFonts w:hint="default"/>
      </w:rPr>
    </w:lvl>
    <w:lvl w:ilvl="4" w:tplc="D3A025DC">
      <w:start w:val="2"/>
      <w:numFmt w:val="decimal"/>
      <w:lvlText w:val="%5)"/>
      <w:lvlJc w:val="left"/>
      <w:pPr>
        <w:tabs>
          <w:tab w:val="num" w:pos="360"/>
        </w:tabs>
        <w:ind w:left="340" w:hanging="340"/>
      </w:pPr>
      <w:rPr>
        <w:rFonts w:hint="default"/>
      </w:rPr>
    </w:lvl>
    <w:lvl w:ilvl="5" w:tplc="10002D46">
      <w:start w:val="1"/>
      <w:numFmt w:val="lowerLetter"/>
      <w:lvlText w:val="%6)"/>
      <w:lvlJc w:val="left"/>
      <w:pPr>
        <w:tabs>
          <w:tab w:val="num" w:pos="794"/>
        </w:tabs>
        <w:ind w:left="794" w:hanging="454"/>
      </w:pPr>
      <w:rPr>
        <w:rFonts w:hint="default"/>
      </w:rPr>
    </w:lvl>
    <w:lvl w:ilvl="6" w:tplc="041B0001">
      <w:start w:val="1"/>
      <w:numFmt w:val="bullet"/>
      <w:lvlText w:val=""/>
      <w:lvlJc w:val="left"/>
      <w:pPr>
        <w:tabs>
          <w:tab w:val="num" w:pos="1361"/>
        </w:tabs>
        <w:ind w:left="1361" w:hanging="567"/>
      </w:pPr>
      <w:rPr>
        <w:rFonts w:ascii="Symbol" w:hAnsi="Symbol" w:hint="default"/>
      </w:rPr>
    </w:lvl>
    <w:lvl w:ilvl="7" w:tplc="86D415AA">
      <w:start w:val="3"/>
      <w:numFmt w:val="decimal"/>
      <w:lvlText w:val="%8)"/>
      <w:lvlJc w:val="left"/>
      <w:pPr>
        <w:tabs>
          <w:tab w:val="num" w:pos="360"/>
        </w:tabs>
        <w:ind w:left="340" w:hanging="340"/>
      </w:pPr>
      <w:rPr>
        <w:rFonts w:hint="default"/>
      </w:rPr>
    </w:lvl>
    <w:lvl w:ilvl="8" w:tplc="5CD6CFCC">
      <w:start w:val="1"/>
      <w:numFmt w:val="lowerLetter"/>
      <w:lvlText w:val="%9)"/>
      <w:lvlJc w:val="left"/>
      <w:pPr>
        <w:tabs>
          <w:tab w:val="num" w:pos="794"/>
        </w:tabs>
        <w:ind w:left="794" w:hanging="454"/>
      </w:pPr>
      <w:rPr>
        <w:rFonts w:hint="default"/>
      </w:rPr>
    </w:lvl>
  </w:abstractNum>
  <w:num w:numId="1" w16cid:durableId="811601288">
    <w:abstractNumId w:val="4"/>
  </w:num>
  <w:num w:numId="2" w16cid:durableId="1498113918">
    <w:abstractNumId w:val="3"/>
  </w:num>
  <w:num w:numId="3" w16cid:durableId="1748454681">
    <w:abstractNumId w:val="5"/>
  </w:num>
  <w:num w:numId="4" w16cid:durableId="1577592041">
    <w:abstractNumId w:val="0"/>
  </w:num>
  <w:num w:numId="5" w16cid:durableId="297927792">
    <w:abstractNumId w:val="2"/>
  </w:num>
  <w:num w:numId="6" w16cid:durableId="1086224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330"/>
    <w:rsid w:val="00006AD1"/>
    <w:rsid w:val="0010595F"/>
    <w:rsid w:val="001848B6"/>
    <w:rsid w:val="002C0849"/>
    <w:rsid w:val="003037E8"/>
    <w:rsid w:val="003C72BD"/>
    <w:rsid w:val="0041388E"/>
    <w:rsid w:val="004F4220"/>
    <w:rsid w:val="00610615"/>
    <w:rsid w:val="008B46E2"/>
    <w:rsid w:val="00954C73"/>
    <w:rsid w:val="00971789"/>
    <w:rsid w:val="009A1D7E"/>
    <w:rsid w:val="00A06537"/>
    <w:rsid w:val="00A1150F"/>
    <w:rsid w:val="00AA718B"/>
    <w:rsid w:val="00AB1549"/>
    <w:rsid w:val="00B31330"/>
    <w:rsid w:val="00B336F1"/>
    <w:rsid w:val="00B82FE9"/>
    <w:rsid w:val="00B958E1"/>
    <w:rsid w:val="00BB7454"/>
    <w:rsid w:val="00C17DD6"/>
    <w:rsid w:val="00CD550D"/>
    <w:rsid w:val="00DF092B"/>
    <w:rsid w:val="00E70A02"/>
    <w:rsid w:val="00F842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1F71D"/>
  <w15:chartTrackingRefBased/>
  <w15:docId w15:val="{FF065668-9439-4781-9FBA-E4F15FC6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31330"/>
    <w:pPr>
      <w:spacing w:after="0" w:line="240" w:lineRule="auto"/>
      <w:jc w:val="both"/>
    </w:pPr>
    <w:rPr>
      <w:rFonts w:ascii="Times New Roman" w:eastAsia="Times New Roman" w:hAnsi="Times New Roman" w:cs="Times New Roman"/>
      <w:sz w:val="24"/>
      <w:szCs w:val="24"/>
      <w:lang w:eastAsia="sk-SK"/>
    </w:rPr>
  </w:style>
  <w:style w:type="paragraph" w:styleId="Nadpis1">
    <w:name w:val="heading 1"/>
    <w:aliases w:val="Nadpis 1 Char Char"/>
    <w:basedOn w:val="Normlny"/>
    <w:next w:val="Normlny"/>
    <w:link w:val="Nadpis1Char"/>
    <w:autoRedefine/>
    <w:qFormat/>
    <w:rsid w:val="00954C73"/>
    <w:pPr>
      <w:keepNext/>
      <w:keepLines/>
      <w:suppressAutoHyphens/>
      <w:spacing w:before="360" w:after="360" w:line="320" w:lineRule="exact"/>
      <w:jc w:val="center"/>
      <w:outlineLvl w:val="0"/>
    </w:pPr>
    <w:rPr>
      <w:rFonts w:ascii="Arial" w:hAnsi="Arial" w:cs="Arial"/>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Char Char Char"/>
    <w:basedOn w:val="Predvolenpsmoodseku"/>
    <w:link w:val="Nadpis1"/>
    <w:rsid w:val="00954C73"/>
    <w:rPr>
      <w:rFonts w:ascii="Arial" w:eastAsia="Times New Roman" w:hAnsi="Arial" w:cs="Arial"/>
      <w:b/>
      <w:sz w:val="24"/>
      <w:szCs w:val="24"/>
      <w:lang w:eastAsia="sk-SK"/>
    </w:rPr>
  </w:style>
  <w:style w:type="character" w:styleId="Hypertextovprepojenie">
    <w:name w:val="Hyperlink"/>
    <w:semiHidden/>
    <w:rsid w:val="00B31330"/>
    <w:rPr>
      <w:color w:val="0000FF"/>
      <w:u w:val="single"/>
    </w:rPr>
  </w:style>
  <w:style w:type="paragraph" w:styleId="Odsekzoznamu">
    <w:name w:val="List Paragraph"/>
    <w:basedOn w:val="Normlny"/>
    <w:qFormat/>
    <w:rsid w:val="00B31330"/>
    <w:pPr>
      <w:ind w:left="720"/>
      <w:contextualSpacing/>
    </w:pPr>
  </w:style>
  <w:style w:type="paragraph" w:styleId="Hlavika">
    <w:name w:val="header"/>
    <w:basedOn w:val="Normlny"/>
    <w:link w:val="HlavikaChar"/>
    <w:uiPriority w:val="99"/>
    <w:unhideWhenUsed/>
    <w:rsid w:val="00006AD1"/>
    <w:pPr>
      <w:tabs>
        <w:tab w:val="center" w:pos="4536"/>
        <w:tab w:val="right" w:pos="9072"/>
      </w:tabs>
    </w:pPr>
  </w:style>
  <w:style w:type="character" w:customStyle="1" w:styleId="HlavikaChar">
    <w:name w:val="Hlavička Char"/>
    <w:basedOn w:val="Predvolenpsmoodseku"/>
    <w:link w:val="Hlavika"/>
    <w:uiPriority w:val="99"/>
    <w:rsid w:val="00006AD1"/>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06AD1"/>
    <w:pPr>
      <w:tabs>
        <w:tab w:val="center" w:pos="4536"/>
        <w:tab w:val="right" w:pos="9072"/>
      </w:tabs>
    </w:pPr>
  </w:style>
  <w:style w:type="character" w:customStyle="1" w:styleId="PtaChar">
    <w:name w:val="Päta Char"/>
    <w:basedOn w:val="Predvolenpsmoodseku"/>
    <w:link w:val="Pta"/>
    <w:uiPriority w:val="99"/>
    <w:rsid w:val="00006AD1"/>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ao.eu/support/resourcecenter/overview" TargetMode="External"/><Relationship Id="rId3" Type="http://schemas.openxmlformats.org/officeDocument/2006/relationships/settings" Target="settings.xml"/><Relationship Id="rId7" Type="http://schemas.openxmlformats.org/officeDocument/2006/relationships/hyperlink" Target="https://www.sepsas.sk/sluzby/schedul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809</Words>
  <Characters>4616</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Slovenská elektrizačná prenosová sústava, a.s.</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Husáková Soňa</dc:creator>
  <cp:keywords/>
  <dc:description/>
  <cp:lastModifiedBy>Husáková Soňa</cp:lastModifiedBy>
  <cp:revision>7</cp:revision>
  <cp:lastPrinted>2022-11-25T11:15:00Z</cp:lastPrinted>
  <dcterms:created xsi:type="dcterms:W3CDTF">2023-11-28T14:36:00Z</dcterms:created>
  <dcterms:modified xsi:type="dcterms:W3CDTF">2024-02-06T12:07:00Z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585759-362d-4185-bb50-fc81b58bf15d_Enabled">
    <vt:lpwstr>true</vt:lpwstr>
  </property>
  <property fmtid="{D5CDD505-2E9C-101B-9397-08002B2CF9AE}" pid="3" name="MSIP_Label_2e585759-362d-4185-bb50-fc81b58bf15d_SetDate">
    <vt:lpwstr>2021-04-15T11:22:33Z</vt:lpwstr>
  </property>
  <property fmtid="{D5CDD505-2E9C-101B-9397-08002B2CF9AE}" pid="4" name="MSIP_Label_2e585759-362d-4185-bb50-fc81b58bf15d_Method">
    <vt:lpwstr>Standard</vt:lpwstr>
  </property>
  <property fmtid="{D5CDD505-2E9C-101B-9397-08002B2CF9AE}" pid="5" name="MSIP_Label_2e585759-362d-4185-bb50-fc81b58bf15d_Name">
    <vt:lpwstr>2e585759-362d-4185-bb50-fc81b58bf15d</vt:lpwstr>
  </property>
  <property fmtid="{D5CDD505-2E9C-101B-9397-08002B2CF9AE}" pid="6" name="MSIP_Label_2e585759-362d-4185-bb50-fc81b58bf15d_SiteId">
    <vt:lpwstr>6dfa2abc-8bb8-4557-855c-e532cacb5122</vt:lpwstr>
  </property>
  <property fmtid="{D5CDD505-2E9C-101B-9397-08002B2CF9AE}" pid="7" name="MSIP_Label_2e585759-362d-4185-bb50-fc81b58bf15d_ActionId">
    <vt:lpwstr>42469bfa-f1e7-4dda-b880-6c20028f726a</vt:lpwstr>
  </property>
  <property fmtid="{D5CDD505-2E9C-101B-9397-08002B2CF9AE}" pid="8" name="MSIP_Label_2e585759-362d-4185-bb50-fc81b58bf15d_ContentBits">
    <vt:lpwstr>0</vt:lpwstr>
  </property>
</Properties>
</file>